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A8" w:rsidRDefault="007E686E" w:rsidP="00E92E20">
      <w:pPr>
        <w:pStyle w:val="a0"/>
        <w:spacing w:after="0"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АДМИНИСТРАЦИЯ</w:t>
      </w:r>
      <w:r w:rsidR="00E92E20"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</w:p>
    <w:p w:rsidR="009B19A8" w:rsidRDefault="009B19A8" w:rsidP="00E92E20">
      <w:pPr>
        <w:pStyle w:val="a0"/>
        <w:spacing w:after="0"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</w:p>
    <w:p w:rsidR="00E92E20" w:rsidRPr="009B19A8" w:rsidRDefault="00E92E20" w:rsidP="00E92E20">
      <w:pPr>
        <w:pStyle w:val="a0"/>
        <w:spacing w:after="0"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="007E686E" w:rsidRPr="009B19A8">
        <w:rPr>
          <w:rFonts w:ascii="Arial" w:hAnsi="Arial" w:cs="Arial"/>
          <w:b/>
          <w:bCs/>
          <w:color w:val="1E1E1E"/>
          <w:sz w:val="32"/>
          <w:szCs w:val="32"/>
        </w:rPr>
        <w:t>ВОЛЖАНСКОГО</w:t>
      </w:r>
      <w:r w:rsidR="007E686E"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="007E686E"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СЕЛЬСОВЕТА</w:t>
      </w:r>
    </w:p>
    <w:p w:rsidR="009B19A8" w:rsidRDefault="009B19A8" w:rsidP="00E92E20">
      <w:pPr>
        <w:pStyle w:val="a0"/>
        <w:spacing w:after="0"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</w:p>
    <w:p w:rsidR="009B19A8" w:rsidRDefault="007E686E" w:rsidP="00E92E20">
      <w:pPr>
        <w:pStyle w:val="a0"/>
        <w:spacing w:after="0"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СОВЕТСКОГО РАЙОНА</w:t>
      </w:r>
      <w:r w:rsidR="00E92E20"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</w:p>
    <w:p w:rsidR="009B19A8" w:rsidRDefault="009B19A8" w:rsidP="00E92E20">
      <w:pPr>
        <w:pStyle w:val="a0"/>
        <w:spacing w:after="0" w:line="255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</w:p>
    <w:p w:rsidR="005A19D4" w:rsidRPr="009B19A8" w:rsidRDefault="00E92E20" w:rsidP="00E92E20">
      <w:pPr>
        <w:pStyle w:val="a0"/>
        <w:spacing w:after="0" w:line="255" w:lineRule="atLeast"/>
        <w:jc w:val="center"/>
        <w:rPr>
          <w:rFonts w:ascii="Arial" w:hAnsi="Arial" w:cs="Arial"/>
          <w:sz w:val="32"/>
          <w:szCs w:val="32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="007E686E"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КУРСКОЙ ОБЛАСТИ</w:t>
      </w:r>
    </w:p>
    <w:p w:rsidR="005A19D4" w:rsidRPr="009B19A8" w:rsidRDefault="005A19D4" w:rsidP="00E92E20">
      <w:pPr>
        <w:pStyle w:val="a0"/>
        <w:spacing w:after="0" w:line="255" w:lineRule="atLeast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5A19D4" w:rsidRPr="009B19A8" w:rsidRDefault="007E686E" w:rsidP="00E92E20">
      <w:pPr>
        <w:pStyle w:val="a0"/>
        <w:spacing w:after="0" w:line="255" w:lineRule="atLeast"/>
        <w:jc w:val="center"/>
        <w:rPr>
          <w:rFonts w:ascii="Arial" w:hAnsi="Arial" w:cs="Arial"/>
          <w:sz w:val="32"/>
          <w:szCs w:val="32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ПОСТАНОВЛЕНИЕ</w:t>
      </w:r>
    </w:p>
    <w:p w:rsidR="009B19A8" w:rsidRDefault="007E686E" w:rsidP="009B19A8">
      <w:pPr>
        <w:pStyle w:val="a0"/>
        <w:tabs>
          <w:tab w:val="left" w:pos="0"/>
          <w:tab w:val="left" w:pos="525"/>
          <w:tab w:val="left" w:pos="855"/>
        </w:tabs>
        <w:spacing w:after="0" w:line="100" w:lineRule="atLeast"/>
        <w:ind w:firstLine="709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 w:rsidRPr="009B19A8">
        <w:rPr>
          <w:rFonts w:ascii="Arial" w:hAnsi="Arial" w:cs="Arial"/>
          <w:color w:val="1E1E1E"/>
          <w:sz w:val="32"/>
          <w:szCs w:val="32"/>
          <w:lang w:eastAsia="ru-RU"/>
        </w:rPr>
        <w:br/>
      </w:r>
      <w:r w:rsidRPr="009B19A8">
        <w:rPr>
          <w:rFonts w:ascii="Arial" w:hAnsi="Arial" w:cs="Arial"/>
          <w:color w:val="1E1E1E"/>
          <w:sz w:val="32"/>
          <w:szCs w:val="32"/>
          <w:lang w:eastAsia="ru-RU"/>
        </w:rPr>
        <w:br/>
      </w:r>
      <w:r w:rsidRPr="009B19A8">
        <w:rPr>
          <w:rFonts w:ascii="Arial" w:hAnsi="Arial" w:cs="Arial"/>
          <w:b/>
          <w:color w:val="1E1E1E"/>
          <w:sz w:val="32"/>
          <w:szCs w:val="32"/>
          <w:lang w:eastAsia="ru-RU"/>
        </w:rPr>
        <w:t>от</w:t>
      </w:r>
      <w:r w:rsidR="00E92E20" w:rsidRPr="009B19A8">
        <w:rPr>
          <w:rFonts w:ascii="Arial" w:hAnsi="Arial" w:cs="Arial"/>
          <w:b/>
          <w:color w:val="1E1E1E"/>
          <w:sz w:val="32"/>
          <w:szCs w:val="32"/>
          <w:lang w:eastAsia="ru-RU"/>
        </w:rPr>
        <w:t xml:space="preserve"> 18 ноября 2014г.  № 56</w:t>
      </w:r>
      <w:proofErr w:type="gramStart"/>
      <w:r w:rsidRPr="009B19A8">
        <w:rPr>
          <w:rFonts w:ascii="Arial" w:hAnsi="Arial" w:cs="Arial"/>
          <w:b/>
          <w:color w:val="1E1E1E"/>
          <w:sz w:val="32"/>
          <w:szCs w:val="32"/>
          <w:lang w:eastAsia="ru-RU"/>
        </w:rPr>
        <w:br/>
      </w:r>
      <w:r w:rsidRPr="009B19A8">
        <w:rPr>
          <w:rFonts w:ascii="Arial" w:hAnsi="Arial" w:cs="Arial"/>
          <w:color w:val="1E1E1E"/>
          <w:sz w:val="32"/>
          <w:szCs w:val="32"/>
          <w:lang w:eastAsia="ru-RU"/>
        </w:rPr>
        <w:br/>
      </w: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О</w:t>
      </w:r>
      <w:proofErr w:type="gramEnd"/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б основных направлениях</w:t>
      </w:r>
      <w:r w:rsidR="00E92E20"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бюджетной и налоговой </w:t>
      </w:r>
    </w:p>
    <w:p w:rsidR="009B19A8" w:rsidRDefault="009B19A8" w:rsidP="009B19A8">
      <w:pPr>
        <w:pStyle w:val="a0"/>
        <w:tabs>
          <w:tab w:val="left" w:pos="0"/>
          <w:tab w:val="left" w:pos="525"/>
          <w:tab w:val="left" w:pos="855"/>
        </w:tabs>
        <w:spacing w:after="0" w:line="100" w:lineRule="atLeast"/>
        <w:ind w:firstLine="709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</w:p>
    <w:p w:rsidR="009B19A8" w:rsidRDefault="007E686E" w:rsidP="009B19A8">
      <w:pPr>
        <w:pStyle w:val="a0"/>
        <w:tabs>
          <w:tab w:val="left" w:pos="0"/>
          <w:tab w:val="left" w:pos="525"/>
          <w:tab w:val="left" w:pos="855"/>
        </w:tabs>
        <w:spacing w:after="0" w:line="100" w:lineRule="atLeast"/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политики</w:t>
      </w:r>
      <w:r w:rsid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proofErr w:type="spellStart"/>
      <w:r w:rsidRPr="009B19A8">
        <w:rPr>
          <w:rFonts w:ascii="Arial" w:hAnsi="Arial" w:cs="Arial"/>
          <w:b/>
          <w:bCs/>
          <w:color w:val="1E1E1E"/>
          <w:sz w:val="32"/>
          <w:szCs w:val="32"/>
        </w:rPr>
        <w:t>Волжанского</w:t>
      </w:r>
      <w:proofErr w:type="spellEnd"/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сельсовета Советского </w:t>
      </w:r>
      <w:r w:rsid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р</w:t>
      </w: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айона</w:t>
      </w:r>
    </w:p>
    <w:p w:rsidR="009B19A8" w:rsidRDefault="009B19A8" w:rsidP="009B19A8">
      <w:pPr>
        <w:pStyle w:val="a0"/>
        <w:tabs>
          <w:tab w:val="left" w:pos="0"/>
          <w:tab w:val="left" w:pos="525"/>
          <w:tab w:val="left" w:pos="855"/>
        </w:tabs>
        <w:spacing w:after="0" w:line="100" w:lineRule="atLeast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</w:p>
    <w:p w:rsidR="005A19D4" w:rsidRPr="009B19A8" w:rsidRDefault="007E686E" w:rsidP="009B19A8">
      <w:pPr>
        <w:pStyle w:val="a0"/>
        <w:tabs>
          <w:tab w:val="left" w:pos="0"/>
          <w:tab w:val="left" w:pos="525"/>
          <w:tab w:val="left" w:pos="855"/>
        </w:tabs>
        <w:spacing w:after="0" w:line="100" w:lineRule="atLeast"/>
        <w:jc w:val="center"/>
        <w:rPr>
          <w:rFonts w:ascii="Arial" w:hAnsi="Arial" w:cs="Arial"/>
          <w:sz w:val="32"/>
          <w:szCs w:val="32"/>
        </w:rPr>
      </w:pP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Курской области на 2015 – 2017 годы </w:t>
      </w:r>
      <w:r w:rsidRPr="009B19A8"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br/>
      </w:r>
    </w:p>
    <w:p w:rsidR="005A19D4" w:rsidRPr="00F1094B" w:rsidRDefault="007E686E">
      <w:pPr>
        <w:pStyle w:val="a0"/>
        <w:tabs>
          <w:tab w:val="left" w:pos="0"/>
          <w:tab w:val="left" w:pos="525"/>
          <w:tab w:val="left" w:pos="855"/>
        </w:tabs>
        <w:spacing w:after="24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В соответствии со статьей 184 Бюджетного кодекса Российской Федерации и статьей 11 Решения Собрания депутатов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от 28.05.2010 № 80 «Об утверждении Положения о бюджетном процессе в муниципальном образовании» «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Волжанский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сельсовет» Советского района Курской области, Администрация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</w:t>
      </w:r>
    </w:p>
    <w:p w:rsidR="005A19D4" w:rsidRPr="00F1094B" w:rsidRDefault="007E686E">
      <w:pPr>
        <w:pStyle w:val="a0"/>
        <w:spacing w:after="0" w:line="255" w:lineRule="atLeast"/>
        <w:jc w:val="center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 xml:space="preserve">ПОСТАНОВЛЯЕТ: </w:t>
      </w:r>
    </w:p>
    <w:p w:rsidR="00F1094B" w:rsidRPr="00F1094B" w:rsidRDefault="007E686E" w:rsidP="00F1094B">
      <w:pPr>
        <w:pStyle w:val="a0"/>
        <w:spacing w:after="0" w:line="255" w:lineRule="atLeast"/>
        <w:ind w:firstLine="675"/>
        <w:rPr>
          <w:rFonts w:ascii="Arial" w:hAnsi="Arial" w:cs="Arial"/>
          <w:color w:val="1E1E1E"/>
          <w:sz w:val="24"/>
          <w:szCs w:val="24"/>
          <w:lang w:eastAsia="ru-RU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  <w:r w:rsidR="00E92E20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         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1. Утвердить основные направления бюджетной и налоговой политики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на 2015 – 2017 годы согласно приложению к настоящему постановлению. </w:t>
      </w:r>
    </w:p>
    <w:p w:rsidR="00F1094B" w:rsidRPr="00F1094B" w:rsidRDefault="007E686E" w:rsidP="00F1094B">
      <w:pPr>
        <w:pStyle w:val="a0"/>
        <w:spacing w:after="0" w:line="255" w:lineRule="atLeast"/>
        <w:ind w:firstLine="675"/>
        <w:rPr>
          <w:rFonts w:ascii="Arial" w:hAnsi="Arial" w:cs="Arial"/>
          <w:color w:val="1E1E1E"/>
          <w:sz w:val="24"/>
          <w:szCs w:val="24"/>
          <w:lang w:eastAsia="ru-RU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  <w:r w:rsidR="007907A6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         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2. Настоящее постановление вступает в силу с момента официального опубликования (обнародования). </w:t>
      </w:r>
    </w:p>
    <w:p w:rsidR="005A19D4" w:rsidRPr="00F1094B" w:rsidRDefault="007E686E" w:rsidP="00F1094B">
      <w:pPr>
        <w:pStyle w:val="a0"/>
        <w:spacing w:after="0" w:line="255" w:lineRule="atLeast"/>
        <w:ind w:firstLine="675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  <w:r w:rsidR="00F1094B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         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3.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Контроль за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выполнением постановления оставляю за собой.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</w:p>
    <w:p w:rsidR="005A19D4" w:rsidRPr="00F1094B" w:rsidRDefault="007E686E">
      <w:pPr>
        <w:pStyle w:val="a0"/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Глава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 сельсовета </w:t>
      </w:r>
    </w:p>
    <w:p w:rsidR="005A19D4" w:rsidRPr="00F1094B" w:rsidRDefault="007E686E">
      <w:pPr>
        <w:pStyle w:val="a0"/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Советского района                          Г.Я.Булгаков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br/>
      </w:r>
    </w:p>
    <w:p w:rsidR="005A19D4" w:rsidRPr="00F1094B" w:rsidRDefault="005A19D4">
      <w:pPr>
        <w:pStyle w:val="a0"/>
        <w:spacing w:after="0" w:line="255" w:lineRule="atLeast"/>
        <w:rPr>
          <w:rFonts w:ascii="Arial" w:hAnsi="Arial" w:cs="Arial"/>
          <w:sz w:val="24"/>
          <w:szCs w:val="24"/>
        </w:rPr>
      </w:pPr>
    </w:p>
    <w:p w:rsidR="005A19D4" w:rsidRPr="00F1094B" w:rsidRDefault="005A19D4">
      <w:pPr>
        <w:pStyle w:val="a0"/>
        <w:spacing w:after="0" w:line="255" w:lineRule="atLeast"/>
        <w:rPr>
          <w:rFonts w:ascii="Arial" w:hAnsi="Arial" w:cs="Arial"/>
          <w:sz w:val="24"/>
          <w:szCs w:val="24"/>
        </w:rPr>
      </w:pPr>
    </w:p>
    <w:p w:rsidR="005A19D4" w:rsidRPr="00F1094B" w:rsidRDefault="005A19D4">
      <w:pPr>
        <w:pStyle w:val="a0"/>
        <w:spacing w:after="0" w:line="255" w:lineRule="atLeast"/>
        <w:rPr>
          <w:rFonts w:ascii="Arial" w:hAnsi="Arial" w:cs="Arial"/>
          <w:sz w:val="24"/>
          <w:szCs w:val="24"/>
        </w:rPr>
      </w:pPr>
    </w:p>
    <w:p w:rsidR="005A19D4" w:rsidRPr="00F1094B" w:rsidRDefault="008547EC">
      <w:pPr>
        <w:pStyle w:val="a0"/>
        <w:spacing w:after="0" w:line="255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П</w:t>
      </w:r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>риложение</w:t>
      </w:r>
    </w:p>
    <w:p w:rsidR="005A19D4" w:rsidRPr="00F1094B" w:rsidRDefault="007E686E">
      <w:pPr>
        <w:pStyle w:val="a0"/>
        <w:spacing w:after="0" w:line="255" w:lineRule="atLeast"/>
        <w:jc w:val="right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  постановлени</w:t>
      </w:r>
      <w:r w:rsidR="008547EC">
        <w:rPr>
          <w:rFonts w:ascii="Arial" w:hAnsi="Arial" w:cs="Arial"/>
          <w:color w:val="1E1E1E"/>
          <w:sz w:val="24"/>
          <w:szCs w:val="24"/>
          <w:lang w:eastAsia="ru-RU"/>
        </w:rPr>
        <w:t>ю</w:t>
      </w:r>
    </w:p>
    <w:p w:rsidR="005A19D4" w:rsidRPr="00F1094B" w:rsidRDefault="007E686E">
      <w:pPr>
        <w:pStyle w:val="a0"/>
        <w:spacing w:after="0" w:line="255" w:lineRule="atLeast"/>
        <w:jc w:val="right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Администрации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</w:t>
      </w:r>
    </w:p>
    <w:p w:rsidR="005A19D4" w:rsidRPr="00F1094B" w:rsidRDefault="007E686E">
      <w:pPr>
        <w:pStyle w:val="a0"/>
        <w:spacing w:after="0" w:line="255" w:lineRule="atLeast"/>
        <w:jc w:val="right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Советского района Курской области</w:t>
      </w:r>
    </w:p>
    <w:p w:rsidR="005A19D4" w:rsidRPr="00F1094B" w:rsidRDefault="00F1094B">
      <w:pPr>
        <w:pStyle w:val="a0"/>
        <w:spacing w:after="0" w:line="255" w:lineRule="atLeast"/>
        <w:jc w:val="right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</w:t>
      </w:r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>т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18</w:t>
      </w:r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ноября 2014г. №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56</w:t>
      </w:r>
    </w:p>
    <w:p w:rsidR="005A19D4" w:rsidRPr="00F1094B" w:rsidRDefault="005A19D4">
      <w:pPr>
        <w:pStyle w:val="a0"/>
        <w:spacing w:after="0" w:line="255" w:lineRule="atLeast"/>
        <w:jc w:val="right"/>
        <w:rPr>
          <w:rFonts w:ascii="Arial" w:hAnsi="Arial" w:cs="Arial"/>
          <w:sz w:val="24"/>
          <w:szCs w:val="24"/>
        </w:rPr>
      </w:pPr>
    </w:p>
    <w:p w:rsidR="005A19D4" w:rsidRPr="00F1094B" w:rsidRDefault="005A19D4">
      <w:pPr>
        <w:pStyle w:val="a0"/>
        <w:spacing w:after="0" w:line="255" w:lineRule="atLeast"/>
        <w:rPr>
          <w:rFonts w:ascii="Arial" w:hAnsi="Arial" w:cs="Arial"/>
          <w:sz w:val="24"/>
          <w:szCs w:val="24"/>
        </w:rPr>
      </w:pPr>
    </w:p>
    <w:p w:rsidR="005A19D4" w:rsidRPr="008547EC" w:rsidRDefault="007E686E">
      <w:pPr>
        <w:pStyle w:val="a0"/>
        <w:spacing w:after="0" w:line="255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ОСНОВНЫЕ НАПРАВЛЕНИЯ</w:t>
      </w:r>
    </w:p>
    <w:p w:rsidR="005A19D4" w:rsidRPr="008547EC" w:rsidRDefault="007E686E">
      <w:pPr>
        <w:pStyle w:val="a0"/>
        <w:spacing w:after="0" w:line="255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бюджетной и налоговой политики </w:t>
      </w:r>
    </w:p>
    <w:p w:rsidR="005A19D4" w:rsidRPr="008547EC" w:rsidRDefault="007E686E">
      <w:pPr>
        <w:pStyle w:val="a0"/>
        <w:spacing w:after="0" w:line="255" w:lineRule="atLeast"/>
        <w:jc w:val="center"/>
        <w:rPr>
          <w:rFonts w:ascii="Arial" w:hAnsi="Arial" w:cs="Arial"/>
          <w:sz w:val="28"/>
          <w:szCs w:val="28"/>
        </w:rPr>
      </w:pPr>
      <w:proofErr w:type="spellStart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Волжанского</w:t>
      </w:r>
      <w:proofErr w:type="spellEnd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сельсовета Советского района </w:t>
      </w:r>
    </w:p>
    <w:p w:rsidR="005A19D4" w:rsidRPr="00F1094B" w:rsidRDefault="007E686E" w:rsidP="00F1094B">
      <w:pPr>
        <w:pStyle w:val="a0"/>
        <w:spacing w:after="0" w:line="255" w:lineRule="atLeast"/>
        <w:jc w:val="center"/>
        <w:rPr>
          <w:rFonts w:ascii="Arial" w:hAnsi="Arial" w:cs="Arial"/>
          <w:sz w:val="24"/>
          <w:szCs w:val="24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на 2015 год и на плановый период 2016 и 2017 годов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 xml:space="preserve"> </w:t>
      </w:r>
      <w:r w:rsidRPr="00F1094B">
        <w:rPr>
          <w:rFonts w:ascii="Arial" w:hAnsi="Arial" w:cs="Arial"/>
          <w:color w:val="1E1E1E"/>
          <w:sz w:val="24"/>
          <w:szCs w:val="24"/>
        </w:rPr>
        <w:br/>
      </w:r>
    </w:p>
    <w:p w:rsidR="005A19D4" w:rsidRPr="00F1094B" w:rsidRDefault="00F1094B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  <w:lang w:eastAsia="ru-RU"/>
        </w:rPr>
        <w:tab/>
      </w:r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proofErr w:type="spellStart"/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2015 год и на плановый период 2016 и 2017 годов подготовлены в соответствии с требованиями статьи 172 Бюджетного кодекса Российской Федерации</w:t>
      </w:r>
      <w:proofErr w:type="gramStart"/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.</w:t>
      </w:r>
      <w:proofErr w:type="gramEnd"/>
      <w:r w:rsidR="007E686E"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на основе  Бюджетного Послания Президента Российской Федерации о бюджетной политике в 2014–2016 годах от 13 июня 2013 года. </w:t>
      </w:r>
      <w:r w:rsidR="007E686E"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I. Основные результаты и проблемы бюджетной политики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В 2013 году и в начале 2014 года бюджетная политика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была направлена на решение социально-экономических задач, в первую очередь поставленных в указах Президента Российской Федерации от 07 мая 2012 года, на обеспечение  устойчивости  бюджета поселения  и повышение эффективности управления муниципальными финансами.                                                                                                          </w:t>
      </w:r>
    </w:p>
    <w:p w:rsidR="005A19D4" w:rsidRPr="00F1094B" w:rsidRDefault="007E686E" w:rsidP="00F1094B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Средняя заработная плата отдельных </w:t>
      </w:r>
      <w:r w:rsid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   к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атегорий  работников  учреждений  бюджетного сектора  доведена  до уровней, установленных Указом Президента Российской Федерации от 07 мая 2012 года № 597.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В основных направлениях бюджетной и налоговой  политики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в 2015–2017 годах   были обозначены конкретные цели, достижение которых призвано повысить качество управления муниципальными финансами.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Бюджет муниципального образования «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Волжанский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сельсовет» на 2015-2017 годы  сформирован   без дефицита. Это обеспечивает повышение устойчивости бюджета муниципального образования.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2013 году и первом полугодии  2014 года  продолжилась реализация комплексной реформы муниципальных учреждений, направленной на повышение доступности и качества муниципальных услуг, эффективности и прозрачности деятельности муниципальных учреждений.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рамках концепции управления муниципальными финансами "Электронный бюджет" на федеральном сайте размещена в полном объеме информация о муниципальных учреждениях.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Целевые программы поселения пока не стали инструментом выработки и реализации государственной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политики на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долгосрочную перспективу. Многие программы рассчитаны на увеличение бюджетного финансирования, источники которого не обозначены.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Отсутствует четкая система оценки эффективности бюджетных расходов. Допускаются факты неэффективного использования бюджетных сре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дств в сф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ере управления бюджетными инвестициями.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Медленно решается задача повышения качества предоставления муниципальных услуг. Нет четкой системы обратной связи с потребителями муниципальных услуг.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Использование муниципальных заданий на оказание муниципальных услуг во многом остается формальным, отсутствует единая методология формирования нормативных затрат.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Финансовое обеспечение муниципальных заданий в основном осуществляется методом "от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достигнутого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",  что не позволяет сравнивать эффективность деятельности учреждений, привлекать к  оказанию услуг  негосударственные организации, сдерживает оптимизацию бюджетной сети.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Возросла нагрузка на  бюджет по  выполнению указов Президента Российской Федерации  от 07 мая 2012 года.  Это привело к  падению  объемов и доли расходов инвестиционного характера.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II. Основные  задачи бюджетной политики на 2015 – 2017 годы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Ранее поставленные цели бюджетной и налоговой политики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сельского поселения: повышение качества жизни всех слоев населения, не потеряли своей актуальности и должны быть достигнуты с учетом  решения новых  задач по преодолению существующих  проблем.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Ситуация в экономике поселения  ставит  бюджетную политику перед новыми вызовами.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Замедление темпов экономического развития  снижает  возможности  для увеличения доходной базы бюджета муниципального образования «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Волжанский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сельсовет» и  постоянного роста бюджетных расходов. Модель постоянного роста бюджетных расходов к настоящему моменту исчерпала свои возможности.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этих условиях, для обеспечения  повышения качества жизни населения,   на первый план выходит решение задач повышения эффективности расходов и переориентации бюджетных ассигнований в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пользу приоритетных направлений и проектов, обеспечивающих максимальный мультипликативный эффект экономического роста и достижение измеримых, общественно значимых результатов, наиболее важные из которых установлены указами Президента Российской Федерации от 07 мая 2012 года.</w:t>
      </w:r>
      <w:proofErr w:type="gramEnd"/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 целью обеспечения конкурентоспособности экономики требуется развитие государственно-частного партнерства, инфраструктуры, поддержка малого и среднего бизнеса, инвесторов.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В новых макроэкономических реалиях при формировании проекта  бюджета муниципального образования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Волжанское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сельское поселение на 2015-2017  годы для достижения целей бюджетной политики особое внимание следует уделить решению следующих основных задач.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1.  Обеспечение долгосрочной сбалансированности и устойчивости  бюджета муниципального образования  как базового принципа ответственной бюджетной политики при безусловном исполнении всех обязательств  </w:t>
      </w:r>
      <w:proofErr w:type="spellStart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Волжанского</w:t>
      </w:r>
      <w:proofErr w:type="spellEnd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сельсовета Советского района и выполнении задач, поставленных в указах Президента Российской Федерации от 07 мая 2012 года.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Для реализации этой задачи необходимо: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обеспечить  соответствие бюджетных проектировок  бюджета муниципального образования  на 2015 - 2017 годы   основным параметрам прогноза социально-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 xml:space="preserve">экономического развития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сельсовета. Главным  администраторам средств бюджета муниципального образования  следует    сформировать  прогнозы  доходов в строгом соответствии  с показателями прогноза социально-экономического развития поселения;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обеспечить расходы бюджета муниципального образования на исполнение действующих расходных обязательств в максимальной степени собственными доходными источниками. При этом все принимаемые решения должны быть просчитаны и финансово обеспечены;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обеспечить  безопасный уровень и структуру муниципального долга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2.  Оптимизация структуры расходов бюджета </w:t>
      </w:r>
      <w:proofErr w:type="spellStart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Волжанского</w:t>
      </w:r>
      <w:proofErr w:type="spellEnd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сельсовета Советского района.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Исчерпание возможностей для наращивания общего объема расходов бюджета муниципального образования требует выявления резервов и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от 07 мая 2012 года задач и создающих условия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для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экономического роста.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 Основными резервами в настоящее время являются: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1) повышение эффективности бюджетных расходов, в том числе за счет: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   проведения структурных реформ в социальной сфере, включая  принятие мер по ограничению фонда оплаты административно-хозяйственного персонала  до 40% от общего фонда оплаты труда, а также переход на "эффективный контракт", который определит условия оплаты труда и социальный пакет работников в зависимости от качества и количества выполняемой работы. </w:t>
      </w:r>
    </w:p>
    <w:p w:rsidR="005A19D4" w:rsidRPr="00F1094B" w:rsidRDefault="007E686E">
      <w:pPr>
        <w:pStyle w:val="a0"/>
        <w:shd w:val="clear" w:color="auto" w:fill="EAEEF2"/>
        <w:spacing w:before="28" w:after="0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2) обеспечение реализации мероприятий по энергосбережению в муниципальных   учреждениях. В соответствии с Федеральным законом от 23.11. 2009 № 261-ФЗ планирование расходов 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бюджета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 на оплату потребляемых  муниципальными учреждениями  топливно-энергетических ресурсов на 2015–2017  годы должно  осуществляться  с учетом  сокращения  объемов их   потребления  в натуральном выражении на 3% к  предыдущему году;</w:t>
      </w:r>
    </w:p>
    <w:p w:rsidR="005A19D4" w:rsidRPr="00F1094B" w:rsidRDefault="007E686E">
      <w:pPr>
        <w:pStyle w:val="a0"/>
        <w:shd w:val="clear" w:color="auto" w:fill="EAEEF2"/>
        <w:spacing w:before="28" w:after="0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3) активное использование механизмов  государственно-частного  партнерства, позволяющих привлечь инвестиции и услуги частных компаний для решения  задач по развитию инфраструктуры, поддержке сельского хозяйства;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          3.  Развитие программно-целевых методов управления.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 В рамках создания новой модели бюджетного планирования особое внимание будет уделяться расширению программного принципа планирования и исполнения бюджетов.  Муниципальные программы должны стать ключевым механизмом, с помощью которого увязываются стратегическое и бюджетное планирование. 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 Проект бюджета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на 2015-2017 годы  будет сформирован в структуре муниципальных программ и не программных мероприятий. При этом муниципальные программы поселения, являясь инструментом реализации  политики территории, сами по себе не формируют расходных обязательств,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 В рамках подготовки  решения  о  бюджете необходимо: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         - обеспечить взаимосвязь поставленных целей и бюджетных ограничений, их увязку с основными параметрами оказания муниципальных услуг, использование всего арсенала регулятивных инструментов, проработку планов структурных реформ.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4.  Переход к формированию муниципального задания на оказание муниципальных  услуг физическим и юридическим лицам на основе единого перечня таких услуг и единых нормативов их финансового обеспечения.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 Для повышения доступности и качества оказания муниципальных услуг главным распорядителям средств бюджета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  необходимо решить  следующие задачи: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 – привести  ведомственные перечни муниципальных услуг в соответствие с  едиными базовыми  перечнями  государственных (муниципальных) услуг, утвержденными  федеральными органами исполнительной власти  по полномочиям Российской Федерации, субъектов Российской Федерации, муниципальных образований. Учредители муниципальных  учреждений в соответствии с  этими перечнями будут быстро и четко разрабатывать муниципальные задания учреждениям на основе сопоставимых критериев. 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Унификация подхода к формированию услуг и составление их исчерпывающего перечня в соответствии с возложенными на органы местного самоуправления полномочиями позволит обеспечить реализацию конституционных гарантий перед гражданами,  повысить прозрачность муниципальных услуг для потребителей, в последующем -  исключить возможность формального подхода к их предоставлению; </w:t>
      </w:r>
      <w:proofErr w:type="gramEnd"/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 – установить  методику по определению стоимости муниципальных услуг путем введения  единых (групповых) значений  нормативных затрат  формирования субсидий на выполнение муниципального задания. Повышение открытости в этих вопросах повысит конкуренцию среди учреждений и  качество услуг;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 – включить  основные  параметры  муниципального задания в состав целевых показателей выполнения соответствующих муниципальных программ.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 Таким образом, будет создана единая методическая база для оказания муниципальных услуг в увязке с целевыми показателями развития соответствующих отраслей,  оценки качества и доступности услуг, предоставляемых населению, оценки эффективности деятельности организаций.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Остается актуальной задача по оптимизации сети муниципальных учреждений. Необходимо реорганизовать учреждения, ориентированные на оказание преимущественно платных услуг, а также учреждения, деятельность которых не соответствует полномочиям органов местного самоуправления.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Одновременно нужно расширять практику размещения муниципальных заданий на конкурсной основе, в том числе с привлечением негосударственных организаций.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Необходимо предусмотреть возможность финансового обеспечения муниципальных услуг через их потребителя, когда средства бюджета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поступают в учреждение после обращения </w:t>
      </w:r>
      <w:r w:rsidRPr="008547EC">
        <w:rPr>
          <w:rFonts w:ascii="Arial" w:hAnsi="Arial" w:cs="Arial"/>
          <w:color w:val="1E1E1E"/>
          <w:sz w:val="24"/>
          <w:szCs w:val="24"/>
          <w:lang w:eastAsia="ru-RU"/>
        </w:rPr>
        <w:t>потенциального получателя муниципальной услуги именно  в это учреждение.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5.  Создание новых механизмов финансирования развития инфраструктуры.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         Для модернизации инфраструктуры, с целью обеспечения высоких темпов экономического развития территории, следует увеличить долю инвестиций в  рамках утвержденных объемов муниципальных программ.  В условиях снижения доходных возможностей территории выполнить эту задачу бюджетной политики возможно через расширение применения механизмов государственно-частного партнерства при реализации инвестиционных проектов модернизации производства, внедрении инноваций. 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6.  Развитие налогового потенциала территории.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      В трехлетней перспективе увеличение налоговых доходов  бюджета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планируется осуществлять на основе: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 привлечения и поддержки частных инвестиций;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 поддержки развития малого и среднего бизнеса;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 проведения оценки эффективности предоставленных льгот по местным налогам, сокращения неэффективных налоговых льгот и освобождений;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  повышения качества налогового администрирования.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  Необходимо активизировать работу по полноценному и достоверному учету муниципального имущества, в том числе земельных участков.</w:t>
      </w:r>
    </w:p>
    <w:p w:rsidR="005A19D4" w:rsidRPr="00F1094B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4"/>
          <w:szCs w:val="24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7.  Повышение прозрачности  бюджета и бюджетного процесса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Граждане и бизнес должны знать, куда направляются уплачиваемые ими налоги. Это требует высокого уровня прозрачности бюджета и бюджетного процесса.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этих целях необходимо продолжить формирование интегрированной информационной системы "Электронный бюджет", где будет размещаться систематизированная актуальная информация о формировании и исполнении  бюджета.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Публиковать информацию "Бюджет для граждан".  Это даст возможность в доступной форме информировать население</w:t>
      </w:r>
      <w:r w:rsidRPr="00F1094B">
        <w:rPr>
          <w:rFonts w:ascii="Arial" w:hAnsi="Arial" w:cs="Arial"/>
          <w:i/>
          <w:iCs/>
          <w:color w:val="1E1E1E"/>
          <w:sz w:val="24"/>
          <w:szCs w:val="24"/>
          <w:lang w:eastAsia="ru-RU"/>
        </w:rPr>
        <w:t> 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 соответствующих бюджетах, планируемых и достигнутых результатах использования бюджетных средств.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Ш. Основные направления налоговой политики </w:t>
      </w:r>
      <w:proofErr w:type="spellStart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Волжанского</w:t>
      </w:r>
      <w:proofErr w:type="spellEnd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сельсовета на 2015 год и на  плановый     период 2016 и 2017 годов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Налоговая политика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определена с учетом основных направлений налоговой политики Российской Федерации на 2015 год и на плановый период 2016 и 2017 годов.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Среди основных направлений, по которым предполагается развивать налоговую политику сельского поселения в среднесрочной перспективе,  выделяются следующие приоритетные направления.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3.1. Улучшение налогового администрирования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и повышение уровня собираемости налогов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Одной из важных задач налоговой политики является обеспечение бюджетной сбалансированности и реализация задач, стоящих перед сельским поселением, которые должны решаться путем улучшения сбора налогов, повышения качества администрирования, совершенствования налоговой системы с целью предотвращения возможности уклонения от налогов.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Совершенствование технологий налогового администрирования приводят к дополнительным возможностям бюджета.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В целях предотвращения попыток уклонения от уплаты налогов и улучшения налогового администрирования на федеральном уровне предусматривается ряд мер по расширению полномочий налоговых органов. В частности, налоговые органы дополнительно получат: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право на получение от банков сведений о наличии счетов, вкладов физических лиц, не являющихся индивидуальными предпринимателями;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право истребовать первичные и иные документы, в случае если уменьшена сумма налога, подлежащего уплате в бюджет, по сравнению с ранее поданной декларацией.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Это происходит в рамках реализации мер, направленных на повышение прозрачности финансовой деятельности хозяйственных обществ, включая противодействие уклонению от налогообложения с помощью оффшорных компаний и фирм – "однодневок".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целях создания для налогоплательщиков благоприятных условий для урегулирования споров без обращения в суд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и снижения нагрузки на судебную систему: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1. Вводится обязательная досудебная процедура обжалования всех без исключения ненормативных актов налоговых органов, а также действий или бездействия их должностных лиц в вышестоящем налоговом органе.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Обязанность прохождения стадии досудебного урегулирования споров позволит ускорить процесс их рассмотрения в течение 15 дней, сократить судебные расходы, связанные с уплатой государственной пошлины, а также издержки по оплате услуг представителей.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2. Увеличивается до одного месяца срок подачи налогоплательщиком апелляционной жалобы на не вступившее в законную силу решение налогового органа о привлечении к ответственности за совершение налогового правонарушения.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настоящее время внедрение современных информационных технологий позволило расширить сервисные функции налоговых органов, что значительно упростило процедуру взаимодействия налоговых органов с налогоплательщиками. Реализовано множество сервисных функций, что позволяет создать и вести бизнес, исполнять налоговые обязательства и получать консультации в любой точке области без визитов в налоговую службу.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2012 году принят Федеральный закон от 29.06.2012 № 97-ФЗ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соответствии с  указанным законом, с 2013 года налоговые органы могут  запросить справки о наличии счетов, вкладов, выписки по операциям на счетах, справки об остатках электронных денежных средств и о переводах электронных денежных средств.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Предусматривается установление порядка осуществления налоговыми органами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контроля за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исполнением банками обязанностей по исполнению поручений на уплату налога, предоставлению сведений и т.д.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Эти меры будут способствовать повышению прозрачности финансовой деятельности хозяйственных обществ, включая противодействие уклонению от налогообложения.</w:t>
      </w:r>
    </w:p>
    <w:p w:rsidR="005A19D4" w:rsidRPr="008547EC" w:rsidRDefault="007E686E" w:rsidP="008547EC">
      <w:pPr>
        <w:pStyle w:val="a0"/>
        <w:shd w:val="clear" w:color="auto" w:fill="EAEEF2"/>
        <w:spacing w:before="28" w:after="0" w:line="100" w:lineRule="atLeast"/>
        <w:jc w:val="center"/>
        <w:rPr>
          <w:rFonts w:ascii="Arial" w:hAnsi="Arial" w:cs="Arial"/>
          <w:sz w:val="28"/>
          <w:szCs w:val="28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3.2. Совершенствование налоговой системы</w:t>
      </w:r>
      <w:r w:rsid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</w:t>
      </w: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в среднесрочной перспективе</w:t>
      </w:r>
      <w:r w:rsidRPr="008547EC">
        <w:rPr>
          <w:rFonts w:ascii="Arial" w:hAnsi="Arial" w:cs="Arial"/>
          <w:color w:val="1E1E1E"/>
          <w:sz w:val="28"/>
          <w:szCs w:val="28"/>
          <w:lang w:eastAsia="ru-RU"/>
        </w:rPr>
        <w:t> </w:t>
      </w: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Налог на доходы физических лиц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В долгосрочном периоде будет сохранена действующая система налогообложения доходов физических лиц с единой ставкой для большинства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видов доходов в размере 13 процентов. Введение прогрессивной шкалы налогообложения доходов физических лиц не планируется.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 2014 года предусматривается  расширение действия отдельных налоговых вычетов. В частности, предполагается исключение ограничений  по предоставлению налоговых вычетов родителям, усыновившим ребенка, оставшегося без попечения родителей, в том числе ребенка-инвалида (в настоящее время социальные вычеты на лечение, на обучение составляют не более 120 тыс. рублей).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качестве наиболее значимых изменений предлагается: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перейти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 принципу предоставления имущественного вычета по налогу на доходы физических лиц налогоплательщику вне зависимости от количества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объектов, в пределах установленного максимального размера имущественного налогового вычета, предоставляемого налогоплательщику в сумме до 2 млн. рублей. Таким образом, физические лица получат право обращаться в налоговые органы за получением имущественного налогового вычета многократно в течение жизни вплоть до полного использования предельной суммы этого вычета;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освободить от налогообложения проценты, получаемые физическими лицами по банковским вкладам;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освободить от налогообложения доходы физических лиц, полученные от реализации жилой недвижимости, земельных участков, гаражей и долей в указанном имуществе.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Стандартные, имущественные, социальные и прочие налоговые вычеты оказывают существенное влияние на поступление налога на доходы физических лиц.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Налог на доходы физических лиц является самым массовым налогом с населения и играет важную роль в доходах бюджетов.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При этом его потенциал как источника доходов далеко не исчерпан.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Основной задачей налоговой политики в отношении налога на доходы физических лиц является принятие мер, направленных на повышение дисциплины работодателей - налоговых агентов. Это связано с фактами удержания и несвоевременного перечисления в бюджеты сумм налога налоговыми агентами, что, по сути, является формой налогового кредита для недобросовестных налоговых агентов.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Основными причинами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снижения темпа роста поступления  налога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на доходы физических лиц в бюджет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являются внесенные в федеральное законодательство изменения: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отмена порядка утверждения банком лимита остатка наличных денег в кассе организаций, отсюда бесконтрольность наличных расчетов в хозяйственной деятельности компаний;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наличие у организаций нескольких расчетных счетов в одном или разных банках, что позволяет им маневрировать денежными потоками, направляя их в выгодное для себя русло;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отмена порядка снятия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со счета организаций денежных средств на выплату заработной платы с одновременным представлением платежного поручения на уплату налога на доходы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физических лиц в бюджет.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Установление вновь этих порядков не позволило бы налоговым агентам занижать фонд оплаты труда и применять «конвертную» систему выплаты заработной платы.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Налоги на имущество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В целях повышения доходов местных бюджетов предполагается введение налога на недвижимость.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Введение налога на недвижимое имущество предусматривает отмену налога на имущество физических лиц и земельного налога с физических лиц.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качестве налогоплательщиков налога на недвижимое имущество будут признаваться физические лица, обладающие правом собственности на здания, строения, сооружения, жилые и нежилые помещения, а также обладающие правом собственности на земельные участки.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 объектам налогообложения по налогу на недвижимое имущество отнесены здания, строения, сооружения, жилые и нежилые помещения, объекты незавершенного капитального строительства, а также земельные участки, на которых располагаются объекты капитального строительства или объекты незавершенного капитального строительства.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качестве налоговой базы для исчисления налога на недвижимое имущество применяется кадастровая стоимость объекта налогообложения.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Размер налоговой ставки предполагается установить в зависимости от размеров кадастровой стоимости в диапазоне: 0,1-1,5%; 0,5-1,5%; 0,5-1,5% - соответственно для объектов с кадастровой стоимостью до 300 млн. рублей, с совокупной кадастровой стоимостью превышающей 300 млн. рублей и с кадастровой стоимостью каждого объекта капитального строительства, в том числе незавершенного, которая превышает 300 млн. рублей.</w:t>
      </w:r>
      <w:proofErr w:type="gramEnd"/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При определении налоговой базы будет применяться налоговый вычет всем налогоплательщикам в отношении жилого помещения, а также жилого строения, расположенного на земельном участке в садоводческом или дачном некоммерческом объединении, в размере кадастровой стоимости 20 квадратных метров соответствующего объекта налогообложения.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Предусматривается переходный период до 01 января 2018 года по мере готовности муниципальных образований к его введению.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Возможность введения налога на недвижимость напрямую зависит от формирования, наполнения государственного кадастра недвижимости и определения кадастровой стоимости объектов недвижимости для определения налоговой базы, а также нормативно-правовой базы. В связи с этим особо актуальным становится вопрос об уровне полноты и достоверности сведений о наполнении базы данных налоговых органов по имуществу, включая земельные участки, и их правообладателях. Все эти меры должны способствовать эффективному администрированию вводимого налога на недвижимость.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Это существенный резерв для пополнения местных бюджетов.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Обладатели предметов роскоши должны платить в бюджет повышенные налоги.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Для решения этой задачи предлагается, чтобы 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имущество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, кадастровая стоимость которого превышает 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300 миллионов рублей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, облагалось по повышенным ставкам. Так, если максимальную ставку нового налога на недвижимость предлагается установить на уровне 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0,1%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от его кадастровой стоимости, то повышенные ставки предлагается установить Налоговым кодексом Российской Федерации на следующем уровне: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0,5%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- в случае, если совокупная стоимость всех объектов недвижимого имущества, находящихся в собственности физического лица, превышает 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300 млн. рублей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, но при этом все объекты по отдельности дешевле </w:t>
      </w: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300 млн. рублей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1%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- в случае, если кадастровая стоимость, хотя бы одного объекта превышает 300 млн. рублей.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По налогу на недвижимое имущество предлагается установить максимальные ставки налога в зависимости от кадастровой стоимости всех объектов недвижимости.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Важным моментом является переход к налогу на недвижимое имущество не только для физических лиц, но и для организаций. Предполагается, что, как и в отношении физических лиц, новым налогом будет облагаться только недвижимое имущество, находящееся у организаций на праве собственности (хозяйственного ведения или оперативного управления). При этом предполагается, что часть сумм нового налога будет поступать в местные бюджеты. 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 xml:space="preserve">Доходы дорожного фонда </w:t>
      </w:r>
      <w:proofErr w:type="spellStart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Волжанского</w:t>
      </w:r>
      <w:proofErr w:type="spellEnd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 xml:space="preserve"> сельсовета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соответствии с Федеральным законом от 03.12.2012 № 244-ФЗ "О внесении изменений в Бюджетный кодекс Российской Федерации и отдельные законодательные акты Российской Федерации"  в бюджете  поселения планируется создать дорожный фонд.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Основными источниками формирования дорожного фонда являются: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доходы от уплаты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инжекторных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бюджет сельского поселения.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Планируется передача в связи с созданием муниципальных дорожных фондов  акцизов на нефтепродукты в бюджет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по дифференцированным нормативам отчислений в местные бюджеты, которые устанавливаются, исходя из протяженности автомобильных дорог местного значения, находящихся в собственности соответствующего муниципального образования.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неналоговые доходы, зачисляемые в бюджет поселения.</w:t>
      </w:r>
    </w:p>
    <w:p w:rsidR="005A19D4" w:rsidRPr="008547EC" w:rsidRDefault="007E686E" w:rsidP="008547EC">
      <w:pPr>
        <w:pStyle w:val="a0"/>
        <w:shd w:val="clear" w:color="auto" w:fill="EAEEF2"/>
        <w:spacing w:before="28"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3.3. Повышение качества механизмов использования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 муниципальной собственности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Повышение качества механизмов использования собственности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должно привести к получению дополнительных доходов в бюджет поселения за счет: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установления жесткого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контроля за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поступлением арендных платежей путем активизации контрольных функций главных администраторов поступлений неналоговых доходов;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установления эффективных и социальных льгот при использовании имущества;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проведения работы по инвентаризации государственного имущества и земельных участков;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осуществления продажи имущества, находящегося в собственности муниципального образования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,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 максимальной выгодой;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усиления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контроля за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полнотой и своевременностью перечисления в бюджет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администрируемых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доходов.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3.5. Развитие бюджетных возможностей для выполнения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государственных полномочий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Налоговая политика муниципального образования  в первую очередь должна быть направлена на обеспечение бюджетными ресурсами, необходимыми для выполнения всех бюджетных обязательств.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>С учетом факторов, влияющих на поступление доходов, налоговый потенциал муниципального образования  определен на 2015 год в сумме  1902,743тыс. рублей, на 2016 год – 1902,743 тыс. рублей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,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на 2017 год – 1902,743 тыс. рублей. 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При расчете налогового потенциала муниципального образования на 2015-2017 годы учтены изменения, вносимые в налоговое и бюджетное законодательство: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передача  акцизов на нефтепродукты в бюджеты муниципальных образований  по дифференцированным нормативам отчислений в местные бюджеты, исходя из протяженности автомобильных дорог местного значения, находящихся в собственности соответствующих муниципальных образований;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зачисление в доходы бюджета по нормативу 100% денежных взысканий (штрафов) за несоблюдение муниципальных правовых актов;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зачисление в доходы бюджета по нормативу 50%,  доходов от аренды  земельных участков, расположенных в границах сельских поселений;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обложение земельным налогом участков земли, предоставленных для обеспечения обороны, безопасности и таможенных нужд, которые ранее не облагались земельным налогом.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Поступления налоговых и неналоговых доходов бюджета муниципального образования будут уточнены на сумму  доходов дорожного фонда.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Прогноз поступления налоговых и неналоговых доходов в бюджет муниципального образования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согласован с финансовым управлением администрации Советского района, принят по расчетам главных администраторов доходов с учетом показателей социально-экономического развития района и вносимых изменений в  налоговое  и бюджетное законодательство.</w:t>
      </w:r>
    </w:p>
    <w:p w:rsidR="005A19D4" w:rsidRPr="008547EC" w:rsidRDefault="007E686E" w:rsidP="008547EC">
      <w:pPr>
        <w:pStyle w:val="a0"/>
        <w:shd w:val="clear" w:color="auto" w:fill="EAEEF2"/>
        <w:spacing w:before="28"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IY.  Приоритетные расходы бюджета муниципального </w:t>
      </w:r>
      <w:proofErr w:type="spellStart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образованияна</w:t>
      </w:r>
      <w:proofErr w:type="spellEnd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2015 год и на  плановый период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2016 и 2017 годов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 Формирование объема и структуры расходов бюджета муниципального образования  на 2015-2017 годы будет осуществляться исходя из следующих основных подходов: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   1) определение объемов бюджетных ассигнований на исполнение действующих расходных обязательств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     на 2015-2017 годы – на  основе объемов расходов,  утвержденных решением Собрания депутатов Ленинского сельсовета «О бюджете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на 2015 год и на плановый период 2016 и 2017 годов», с учетом оптимизации  муниципальных закупок </w:t>
      </w:r>
      <w:proofErr w:type="spellStart"/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закупок</w:t>
      </w:r>
      <w:proofErr w:type="spellEnd"/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, бюджетной сети и межбюджетных трансфертов, а также  дополнительных расходов, необходимых на реализацию принятых "дорожных карт" по выполнению указов Президента Российской Федерации от 07 мая 2012 года;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   на 2016 год  - исходя из необходимости финансового обеспечения длящихся расходных обязательств.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              2) определение бюджетных ассигнований на исполнение принимаемых расходных обязательств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исходя из суммы доходов бюджета муниципального образования   в 2015-2017 годах.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    В рамках выработанных бюджетных  подходов к формированию расходов бюджета муниципального образования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Волжанское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сельское поселение на предстоящие три года будут обеспечены следующие приоритеты в  отраслях бюджетной сферы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сельского поселения.              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lastRenderedPageBreak/>
        <w:t>4.1. В сфере культуры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Прогноз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 отрасли: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повышение качества и расширение спектра муниципальных услуг в сфере культуры, организация процесса модернизации библиотек и библиотечного дела;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обеспечение достойной оплаты труда работников  учреждений культуры, развитие и сохранение кадрового потенциала учреждений культуры;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обеспечение доступности к культурному продукту путем информатизации отрасли;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сохранение культурного и исторического наследия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сельсовета, обеспечение доступа граждан к культурным ценностям.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 Во исполнение Указа Президента Российской Федерации от 07 мая 2012 года № 597 "О мероприятиях по реализации государственной социальной политики"  будет обеспечено доведение к 2018 году средней заработной платы работников культуры до средней заработной платы в регионе согласно принятой "дорожной карте". Финансовое обеспечение будет осуществляться  за счет  сокращения неэффективных расходов.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Повышение финансовой самостоятельности  учреждений культуры должно способствовать более активному привлечению внебюджетных источников, повышению качества оказываемых услуг.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4.2.</w:t>
      </w:r>
      <w:r w:rsidRPr="008547EC">
        <w:rPr>
          <w:rFonts w:ascii="Arial" w:hAnsi="Arial" w:cs="Arial"/>
          <w:color w:val="1E1E1E"/>
          <w:sz w:val="28"/>
          <w:szCs w:val="28"/>
          <w:lang w:eastAsia="ru-RU"/>
        </w:rPr>
        <w:t> </w:t>
      </w: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В сфере  физической культуры и спорта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Приоритетными направлениями  бюджетной политики в сфере физической  культуры и спорта  на  2015-2017 годы   являются: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- создание условий, обеспечивающих возможность для населения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совершенствование системы спорта высших достижений, способствующей успешному выступлению спортсменов на официальных областных и районных соревнованиях.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В 2015-2017 годах будет продолжена работа  по развитию физической культуры и спорта в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Волжанском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сельском поселении.               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4.3. В сфере дорожного хозяйства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        В целях финансового обеспечения дорожной деятельности  с 1 января 2014 года  создан  муниципальный дорожный фонд. Бюджетные ассигнования на дорожное хозяйство планируются в пределах прогнозируемого объема доходов от поступления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инжекторных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) двигателей, подлежащих зачислению в  бюджет Курской области с последующим распределением в дорожный фонд муниципального образования.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           Средства муниципального дорожного фонда направляются на финансовое обеспечение  деятельности по проектированию, строительству, реконструкции, капитальному ремонту и содержанию автомобильных дорог общего пользования местного значения и искусственных сооружений на них, а также капитальному ремонту и ремонту дворовых территорий многоквартирных </w:t>
      </w: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 xml:space="preserve">домов, проездов к дворовым территориям многоквартирных домов населенных пунктов территории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сельсовета.    </w:t>
      </w:r>
    </w:p>
    <w:p w:rsidR="005A19D4" w:rsidRPr="008547EC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4.4. В сфере жилищно-коммунального хозяйства</w:t>
      </w:r>
      <w:r w:rsidRPr="008547EC">
        <w:rPr>
          <w:rFonts w:ascii="Arial" w:hAnsi="Arial" w:cs="Arial"/>
          <w:color w:val="1E1E1E"/>
          <w:sz w:val="28"/>
          <w:szCs w:val="28"/>
          <w:lang w:eastAsia="ru-RU"/>
        </w:rPr>
        <w:t>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 2015 году продолжится работа по формированию благоприятной среды  для проживания населения и повышения уровня внешнего благоустройства территории. В рамках основных направлений предстоит решение следующих ключевых задач:</w:t>
      </w:r>
    </w:p>
    <w:p w:rsidR="005A19D4" w:rsidRPr="00F1094B" w:rsidRDefault="007E686E">
      <w:pPr>
        <w:pStyle w:val="a0"/>
        <w:numPr>
          <w:ilvl w:val="0"/>
          <w:numId w:val="2"/>
        </w:numPr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организация уличного освещения населенных пунктов;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     2.проведение мероприятий по посадке и уходу за зелеными  насаждениями, обрезке деревьев и кустарников;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3.организация содержания мест захоронения;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4.организация сбора,  вывоза и утилизации бытовых отходов;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5. создание новых и обустройство существующих детских, спортивных площадок малыми архитектурными формами.</w:t>
      </w:r>
    </w:p>
    <w:p w:rsidR="005A19D4" w:rsidRPr="008547EC" w:rsidRDefault="007E686E" w:rsidP="008547EC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4.5. В сфере управления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Бюджетная политика в сфере управления будет направлена </w:t>
      </w: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на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: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  повышение эффективности бюджетных расходов за счет оптимизации муниципальных закупок и численности муниципальных служащих;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выполнение нормативов формирования расходов на обеспечение деятельности органов местного самоуправления;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- повышение качества и оперативности предоставления муниципальных услуг гражданам и организациям на основе использования информационных и телекоммуникационных технологий, в том числе развитие предоставления государственных (муниципальных)  услуг через принцип "одного окна" в многофункциональных центрах и  применение населением универсальных электронных карт.</w:t>
      </w:r>
    </w:p>
    <w:p w:rsidR="005A19D4" w:rsidRPr="00F1094B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4.6. В сфере обеспечения безопасности граждан, гражданской обороны,</w:t>
      </w:r>
      <w:r w:rsid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</w:t>
      </w: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предотвращения чрезвычайных ситуаций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Бюджетная политика в сфере обеспечения безопасности граждан, гражданской обороны, предотвращения чрезвычайных ситуаций будет направлена на обеспечение выполнения Соглашения между Министерством Российской Федерации по делам гражданской обороны, чрезвычайным ситуациям и ликвидации последствий стихийных бедствий и администрацией Владимирской области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работ</w:t>
      </w:r>
      <w:proofErr w:type="gram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, осуществление поиска и спасания людей на водных объектах.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Получит дальнейшее совершенствование система своевременного оповещения населения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о чрезвычайных ситуациях.</w:t>
      </w:r>
    </w:p>
    <w:p w:rsidR="005A19D4" w:rsidRPr="00F1094B" w:rsidRDefault="007E686E">
      <w:pPr>
        <w:pStyle w:val="a0"/>
        <w:shd w:val="clear" w:color="auto" w:fill="EAEEF2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Y. Политика в области муниципального долга</w:t>
      </w:r>
    </w:p>
    <w:p w:rsidR="005A19D4" w:rsidRPr="008547EC" w:rsidRDefault="007E686E">
      <w:pPr>
        <w:pStyle w:val="a0"/>
        <w:shd w:val="clear" w:color="auto" w:fill="EAEEF2"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proofErr w:type="spellStart"/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Волжанского</w:t>
      </w:r>
      <w:proofErr w:type="spellEnd"/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 xml:space="preserve"> сельсовета Советского района на </w:t>
      </w:r>
      <w:r w:rsidRPr="008547EC">
        <w:rPr>
          <w:rFonts w:ascii="Arial" w:hAnsi="Arial" w:cs="Arial"/>
          <w:b/>
          <w:color w:val="1E1E1E"/>
          <w:sz w:val="28"/>
          <w:szCs w:val="28"/>
          <w:lang w:eastAsia="ru-RU"/>
        </w:rPr>
        <w:t>2015-2017</w:t>
      </w:r>
      <w:r w:rsidRPr="008547EC">
        <w:rPr>
          <w:rFonts w:ascii="Arial" w:hAnsi="Arial" w:cs="Arial"/>
          <w:color w:val="1E1E1E"/>
          <w:sz w:val="28"/>
          <w:szCs w:val="28"/>
          <w:lang w:eastAsia="ru-RU"/>
        </w:rPr>
        <w:t xml:space="preserve"> </w:t>
      </w:r>
      <w:r w:rsidRPr="008547EC">
        <w:rPr>
          <w:rFonts w:ascii="Arial" w:hAnsi="Arial" w:cs="Arial"/>
          <w:b/>
          <w:bCs/>
          <w:color w:val="1E1E1E"/>
          <w:sz w:val="28"/>
          <w:szCs w:val="28"/>
          <w:lang w:eastAsia="ru-RU"/>
        </w:rPr>
        <w:t>годы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center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 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Долговая политика является неотъемлемой частью бюджетной политики района, поэтому ее стратегические и тактические задачи направлены на увеличение налогового потенциала поселения через привлечение инвестиций в экономику района, а также на сокращение бюджетных расходов будущих периодов и дефицита бюджета.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lastRenderedPageBreak/>
        <w:t xml:space="preserve">Основополагающим нормативным правовым актом в сфере муниципального долга </w:t>
      </w:r>
      <w:proofErr w:type="spellStart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Волжанского</w:t>
      </w:r>
      <w:proofErr w:type="spellEnd"/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 xml:space="preserve"> сельсовета Советского района является Бюджетный кодекс Российской Федерации, который определяет виды долговых обязательств Российской Федерации, общий порядок их возникновения, обслуживания и погашения.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Поэтому целью управления внутренним долгом является выполнение требований Бюджетного кодекса Российской Федерации.</w:t>
      </w:r>
    </w:p>
    <w:p w:rsidR="005A19D4" w:rsidRPr="00F1094B" w:rsidRDefault="007E686E">
      <w:pPr>
        <w:pStyle w:val="a0"/>
        <w:shd w:val="clear" w:color="auto" w:fill="EAEEF2"/>
        <w:spacing w:before="28" w:after="28" w:line="100" w:lineRule="atLeast"/>
        <w:jc w:val="both"/>
        <w:rPr>
          <w:rFonts w:ascii="Arial" w:hAnsi="Arial" w:cs="Arial"/>
          <w:sz w:val="24"/>
          <w:szCs w:val="24"/>
        </w:rPr>
      </w:pPr>
      <w:r w:rsidRPr="00F1094B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5A19D4" w:rsidRPr="00F1094B" w:rsidRDefault="005A19D4">
      <w:pPr>
        <w:pStyle w:val="ab"/>
        <w:jc w:val="center"/>
        <w:rPr>
          <w:rFonts w:ascii="Arial" w:hAnsi="Arial" w:cs="Arial"/>
          <w:sz w:val="24"/>
          <w:szCs w:val="24"/>
        </w:rPr>
      </w:pPr>
    </w:p>
    <w:sectPr w:rsidR="005A19D4" w:rsidRPr="00F1094B" w:rsidSect="007E686E">
      <w:pgSz w:w="11905" w:h="16837"/>
      <w:pgMar w:top="1134" w:right="1247" w:bottom="1134" w:left="153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526"/>
    <w:multiLevelType w:val="multilevel"/>
    <w:tmpl w:val="3A6EF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9741F8"/>
    <w:multiLevelType w:val="multilevel"/>
    <w:tmpl w:val="0498A2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9D4"/>
    <w:rsid w:val="005A19D4"/>
    <w:rsid w:val="007907A6"/>
    <w:rsid w:val="007E686E"/>
    <w:rsid w:val="008547EC"/>
    <w:rsid w:val="009B19A8"/>
    <w:rsid w:val="00B7503E"/>
    <w:rsid w:val="00E92E20"/>
    <w:rsid w:val="00F1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3E"/>
  </w:style>
  <w:style w:type="paragraph" w:styleId="5">
    <w:name w:val="heading 5"/>
    <w:basedOn w:val="a0"/>
    <w:next w:val="a1"/>
    <w:rsid w:val="005A19D4"/>
    <w:pPr>
      <w:spacing w:before="28" w:after="28" w:line="100" w:lineRule="atLeast"/>
      <w:ind w:left="1008" w:hanging="1008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A19D4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  <w:lang w:eastAsia="en-US"/>
    </w:rPr>
  </w:style>
  <w:style w:type="character" w:customStyle="1" w:styleId="ListLabel1">
    <w:name w:val="ListLabel 1"/>
    <w:rsid w:val="005A19D4"/>
    <w:rPr>
      <w:rFonts w:cs="Times New Roman"/>
    </w:rPr>
  </w:style>
  <w:style w:type="character" w:customStyle="1" w:styleId="Heading5Char">
    <w:name w:val="Heading 5 Char"/>
    <w:basedOn w:val="a2"/>
    <w:rsid w:val="005A19D4"/>
  </w:style>
  <w:style w:type="character" w:customStyle="1" w:styleId="50">
    <w:name w:val="Заголовок 5 Знак"/>
    <w:basedOn w:val="a2"/>
    <w:rsid w:val="005A19D4"/>
  </w:style>
  <w:style w:type="character" w:customStyle="1" w:styleId="a5">
    <w:name w:val="Выделение жирным"/>
    <w:basedOn w:val="a2"/>
    <w:rsid w:val="005A19D4"/>
    <w:rPr>
      <w:rFonts w:cs="Times New Roman"/>
      <w:b/>
      <w:bCs/>
    </w:rPr>
  </w:style>
  <w:style w:type="character" w:customStyle="1" w:styleId="apple-converted-space">
    <w:name w:val="apple-converted-space"/>
    <w:basedOn w:val="a2"/>
    <w:rsid w:val="005A19D4"/>
  </w:style>
  <w:style w:type="character" w:styleId="a6">
    <w:name w:val="Emphasis"/>
    <w:basedOn w:val="a2"/>
    <w:rsid w:val="005A19D4"/>
    <w:rPr>
      <w:rFonts w:cs="Times New Roman"/>
      <w:i/>
      <w:iCs/>
    </w:rPr>
  </w:style>
  <w:style w:type="character" w:customStyle="1" w:styleId="BodyTextChar">
    <w:name w:val="Body Text Char"/>
    <w:basedOn w:val="a2"/>
    <w:rsid w:val="005A19D4"/>
  </w:style>
  <w:style w:type="character" w:customStyle="1" w:styleId="TitleChar">
    <w:name w:val="Title Char"/>
    <w:basedOn w:val="a2"/>
    <w:rsid w:val="005A19D4"/>
  </w:style>
  <w:style w:type="paragraph" w:customStyle="1" w:styleId="a7">
    <w:name w:val="Заголовок"/>
    <w:basedOn w:val="a0"/>
    <w:next w:val="a1"/>
    <w:rsid w:val="005A19D4"/>
    <w:pPr>
      <w:keepNext/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1">
    <w:name w:val="Body Text"/>
    <w:basedOn w:val="a0"/>
    <w:rsid w:val="005A19D4"/>
    <w:pPr>
      <w:spacing w:after="120"/>
    </w:pPr>
  </w:style>
  <w:style w:type="paragraph" w:styleId="a8">
    <w:name w:val="List"/>
    <w:basedOn w:val="a1"/>
    <w:rsid w:val="005A19D4"/>
    <w:rPr>
      <w:rFonts w:ascii="Arial" w:hAnsi="Arial" w:cs="Tahoma"/>
    </w:rPr>
  </w:style>
  <w:style w:type="paragraph" w:styleId="a9">
    <w:name w:val="Title"/>
    <w:basedOn w:val="a0"/>
    <w:rsid w:val="005A19D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a">
    <w:name w:val="index heading"/>
    <w:basedOn w:val="a0"/>
    <w:rsid w:val="005A19D4"/>
  </w:style>
  <w:style w:type="paragraph" w:styleId="1">
    <w:name w:val="index 1"/>
    <w:basedOn w:val="a0"/>
    <w:rsid w:val="005A19D4"/>
  </w:style>
  <w:style w:type="paragraph" w:styleId="ab">
    <w:name w:val="Normal (Web)"/>
    <w:basedOn w:val="a0"/>
    <w:rsid w:val="005A19D4"/>
  </w:style>
  <w:style w:type="paragraph" w:customStyle="1" w:styleId="a40">
    <w:name w:val="a4"/>
    <w:basedOn w:val="a0"/>
    <w:rsid w:val="005A19D4"/>
  </w:style>
  <w:style w:type="paragraph" w:customStyle="1" w:styleId="constitle">
    <w:name w:val="constitle"/>
    <w:basedOn w:val="a0"/>
    <w:rsid w:val="005A19D4"/>
  </w:style>
  <w:style w:type="paragraph" w:styleId="ac">
    <w:name w:val="Balloon Text"/>
    <w:basedOn w:val="a"/>
    <w:link w:val="ad"/>
    <w:uiPriority w:val="99"/>
    <w:semiHidden/>
    <w:unhideWhenUsed/>
    <w:rsid w:val="00F1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F10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5395</Words>
  <Characters>30754</Characters>
  <Application>Microsoft Office Word</Application>
  <DocSecurity>0</DocSecurity>
  <Lines>256</Lines>
  <Paragraphs>72</Paragraphs>
  <ScaleCrop>false</ScaleCrop>
  <Company>Reanimator Extreme Edition</Company>
  <LinksUpToDate>false</LinksUpToDate>
  <CharactersWithSpaces>36077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</cp:lastModifiedBy>
  <cp:revision>17</cp:revision>
  <cp:lastPrinted>2014-12-17T10:06:00Z</cp:lastPrinted>
  <dcterms:created xsi:type="dcterms:W3CDTF">2013-11-13T05:33:00Z</dcterms:created>
  <dcterms:modified xsi:type="dcterms:W3CDTF">2014-12-17T11:33:00Z</dcterms:modified>
</cp:coreProperties>
</file>